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012B3C41" w:rsidR="00FF22A5" w:rsidRDefault="00B831FA" w:rsidP="00FF22A5">
      <w:pPr>
        <w:jc w:val="both"/>
        <w:rPr>
          <w:rStyle w:val="BLOCKBOLD"/>
          <w:rFonts w:ascii="Calibri" w:hAnsi="Calibri"/>
        </w:rPr>
      </w:pPr>
      <w:r w:rsidRPr="00B831FA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>per</w:t>
      </w:r>
      <w:r w:rsidR="00047D80">
        <w:rPr>
          <w:rStyle w:val="BLOCKBOLD"/>
          <w:rFonts w:ascii="Calibri" w:hAnsi="Calibri"/>
        </w:rPr>
        <w:t xml:space="preserve"> la</w:t>
      </w:r>
      <w:bookmarkStart w:id="0" w:name="_GoBack"/>
      <w:bookmarkEnd w:id="0"/>
      <w:r>
        <w:rPr>
          <w:rStyle w:val="BLOCKBOLD"/>
          <w:rFonts w:ascii="Calibri" w:hAnsi="Calibri"/>
        </w:rPr>
        <w:t xml:space="preserve"> </w:t>
      </w:r>
      <w:r w:rsidR="00047D80" w:rsidRPr="00047D80">
        <w:rPr>
          <w:rStyle w:val="BLOCKBOLD"/>
          <w:rFonts w:ascii="Calibri" w:hAnsi="Calibri"/>
        </w:rPr>
        <w:t>FORNITURA, POSA IN OPERA, GESTIONE E MANUTENZIONE DI INFRASTRUTTURE DI RICARICA PER AUTO ELETTRICHE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0011CD47" w:rsidR="00723FCF" w:rsidRPr="00EE2275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00" w:themeColor="text1"/>
          <w:lang w:eastAsia="ar-SA"/>
        </w:rPr>
      </w:pPr>
      <w:r w:rsidRPr="00EE2275">
        <w:rPr>
          <w:rFonts w:eastAsia="Times New Roman" w:cstheme="minorHAnsi"/>
          <w:i/>
          <w:color w:val="000000" w:themeColor="text1"/>
          <w:lang w:eastAsia="ar-SA"/>
        </w:rPr>
        <w:t xml:space="preserve">eventuali 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</w:rPr>
        <w:t>dichiarazioni relative alle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  <w:u w:val="single"/>
        </w:rPr>
        <w:t xml:space="preserve"> fattispecie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</w:rPr>
        <w:t xml:space="preserve"> ricadenti nell’ambito di applicazione dell’art. 80, </w:t>
      </w:r>
      <w:r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 xml:space="preserve">comma 5, 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</w:rPr>
        <w:t>così come precisate nelle condizioni particolari di RDO,</w:t>
      </w:r>
      <w:r w:rsidRPr="00EE2275">
        <w:rPr>
          <w:rFonts w:eastAsia="Times New Roman" w:cstheme="minorHAnsi"/>
          <w:i/>
          <w:color w:val="000000" w:themeColor="text1"/>
          <w:lang w:eastAsia="ar-SA"/>
        </w:rPr>
        <w:t xml:space="preserve"> </w:t>
      </w:r>
      <w:r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>lad</w:t>
      </w:r>
      <w:r w:rsidRPr="00EE2275">
        <w:rPr>
          <w:rFonts w:ascii="Calibri" w:hAnsi="Calibri" w:cs="Arial"/>
          <w:b/>
          <w:i/>
          <w:color w:val="000000" w:themeColor="text1"/>
          <w:szCs w:val="20"/>
        </w:rPr>
        <w:t xml:space="preserve">dove in sede di ammissione al MEPA </w:t>
      </w:r>
      <w:r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 xml:space="preserve">o di rinnovo dati non se ne </w:t>
      </w:r>
      <w:r w:rsidR="00EE2275"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>fosse tenuto conto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AEAF8E2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47D80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47D80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831FA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EE2275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2022-02-23T15:52:00Z</dcterms:modified>
</cp:coreProperties>
</file>